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jc w:val="center"/>
        <w:rPr>
          <w:rFonts w:ascii="Sylfaen" w:hAnsi="Sylfaen"/>
          <w:b/>
          <w:b/>
          <w:sz w:val="24"/>
          <w:szCs w:val="24"/>
          <w:lang w:val="en-US"/>
        </w:rPr>
      </w:pPr>
      <w:r>
        <w:rPr>
          <w:rFonts w:ascii="Sylfaen" w:hAnsi="Sylfaen"/>
          <w:b/>
          <w:sz w:val="24"/>
          <w:szCs w:val="24"/>
          <w:lang w:val="en-US"/>
        </w:rPr>
        <w:t>I. ENSURING TRANSPARENCY AND ACCOUNTABILITY</w:t>
      </w:r>
    </w:p>
    <w:tbl>
      <w:tblPr>
        <w:tblW w:w="14709" w:type="dxa"/>
        <w:jc w:val="left"/>
        <w:tblInd w:w="0" w:type="dxa"/>
        <w:tblCellMar>
          <w:top w:w="0" w:type="dxa"/>
          <w:left w:w="108" w:type="dxa"/>
          <w:bottom w:w="0" w:type="dxa"/>
          <w:right w:w="108" w:type="dxa"/>
        </w:tblCellMar>
        <w:tblLook w:val="04a0" w:noHBand="0" w:noVBand="1" w:firstColumn="1" w:lastRow="0" w:lastColumn="0" w:firstRow="1"/>
      </w:tblPr>
      <w:tblGrid>
        <w:gridCol w:w="2518"/>
        <w:gridCol w:w="2691"/>
        <w:gridCol w:w="5104"/>
        <w:gridCol w:w="2127"/>
        <w:gridCol w:w="2269"/>
      </w:tblGrid>
      <w:tr>
        <w:trPr/>
        <w:tc>
          <w:tcPr>
            <w:tcW w:w="14709" w:type="dxa"/>
            <w:gridSpan w:val="5"/>
            <w:tcBorders>
              <w:top w:val="double" w:sz="4" w:space="0" w:color="000000"/>
              <w:left w:val="double" w:sz="4" w:space="0" w:color="000000"/>
              <w:bottom w:val="single" w:sz="4" w:space="0" w:color="000000"/>
              <w:right w:val="double" w:sz="4" w:space="0" w:color="000000"/>
            </w:tcBorders>
            <w:shd w:color="auto" w:fill="F4B083" w:val="clear"/>
          </w:tcPr>
          <w:p>
            <w:pPr>
              <w:pStyle w:val="Normal"/>
              <w:tabs>
                <w:tab w:val="clear" w:pos="708"/>
                <w:tab w:val="left" w:pos="552" w:leader="none"/>
              </w:tabs>
              <w:spacing w:lineRule="auto" w:line="360" w:before="0" w:after="120"/>
              <w:jc w:val="center"/>
              <w:rPr>
                <w:rFonts w:ascii="Sylfaen" w:hAnsi="Sylfaen"/>
                <w:b/>
                <w:b/>
                <w:sz w:val="24"/>
                <w:szCs w:val="24"/>
                <w:lang w:val="en-US"/>
              </w:rPr>
            </w:pPr>
            <w:r>
              <w:rPr>
                <w:rFonts w:ascii="Sylfaen" w:hAnsi="Sylfaen"/>
                <w:b/>
                <w:sz w:val="24"/>
                <w:szCs w:val="24"/>
                <w:lang w:val="en-US"/>
              </w:rPr>
              <w:t>1.</w:t>
            </w:r>
            <w:r>
              <w:rPr>
                <w:rFonts w:ascii="Sylfaen" w:hAnsi="Sylfaen"/>
                <w:sz w:val="24"/>
                <w:szCs w:val="24"/>
                <w:lang w:val="en-US"/>
              </w:rPr>
              <w:tab/>
            </w:r>
            <w:r>
              <w:rPr>
                <w:rFonts w:ascii="Sylfaen" w:hAnsi="Sylfaen"/>
                <w:b/>
                <w:sz w:val="24"/>
                <w:szCs w:val="24"/>
                <w:lang w:val="en-US"/>
              </w:rPr>
              <w:t>Responsible official travel. Ensuring transparency and accountability in official trips of representatives of republican executive bodies and territorial administration bodies</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 xml:space="preserve">Commitment Start and End Date </w:t>
            </w:r>
          </w:p>
          <w:p>
            <w:pPr>
              <w:pStyle w:val="Normal"/>
              <w:spacing w:lineRule="auto" w:line="360" w:before="0" w:after="120"/>
              <w:jc w:val="center"/>
              <w:rPr>
                <w:rFonts w:ascii="Sylfaen" w:hAnsi="Sylfaen"/>
                <w:b/>
                <w:b/>
                <w:sz w:val="24"/>
                <w:szCs w:val="24"/>
                <w:lang w:val="en-US"/>
              </w:rPr>
            </w:pPr>
            <w:r>
              <w:rPr>
                <w:rFonts w:ascii="Sylfaen" w:hAnsi="Sylfaen"/>
                <w:b/>
                <w:sz w:val="24"/>
                <w:szCs w:val="24"/>
                <w:lang w:val="en-US"/>
              </w:rPr>
              <w:t xml:space="preserve">October 2016 - June 2017 </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New commitment</w:t>
            </w:r>
          </w:p>
          <w:p>
            <w:pPr>
              <w:pStyle w:val="Normal"/>
              <w:spacing w:lineRule="auto" w:line="360" w:before="0" w:after="120"/>
              <w:jc w:val="center"/>
              <w:rPr>
                <w:rFonts w:ascii="Sylfaen" w:hAnsi="Sylfaen"/>
                <w:sz w:val="24"/>
                <w:szCs w:val="24"/>
                <w:lang w:val="en-US"/>
              </w:rPr>
            </w:pPr>
            <w:r>
              <w:rPr>
                <w:rFonts w:ascii="Sylfaen" w:hAnsi="Sylfaen"/>
                <w:sz w:val="24"/>
                <w:szCs w:val="24"/>
                <w:lang w:val="en-US"/>
              </w:rPr>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Lead implementing agency</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rPr>
                <w:rFonts w:ascii="Sylfaen" w:hAnsi="Sylfaen"/>
                <w:sz w:val="24"/>
                <w:szCs w:val="24"/>
                <w:lang w:val="en-US"/>
              </w:rPr>
            </w:pPr>
            <w:r>
              <w:rPr>
                <w:rFonts w:ascii="Sylfaen" w:hAnsi="Sylfaen"/>
                <w:sz w:val="24"/>
                <w:szCs w:val="24"/>
                <w:lang w:val="en-US"/>
              </w:rPr>
              <w:t>Ministry of Justice of the Republic of Armenia</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Person responsible from implementing agency</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rPr>
                <w:rFonts w:ascii="Sylfaen" w:hAnsi="Sylfaen"/>
                <w:sz w:val="24"/>
                <w:szCs w:val="24"/>
                <w:lang w:val="en-US"/>
              </w:rPr>
            </w:pPr>
            <w:r>
              <w:rPr>
                <w:rFonts w:ascii="Sylfaen" w:hAnsi="Sylfaen"/>
                <w:sz w:val="24"/>
                <w:szCs w:val="24"/>
                <w:lang w:val="en-US"/>
              </w:rPr>
              <w:t>Diana Ghazaryan</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Title, Department</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hd w:val="clear" w:color="auto" w:fill="FFFFFF"/>
              <w:spacing w:lineRule="auto" w:line="360" w:before="0" w:after="120"/>
              <w:rPr>
                <w:rFonts w:ascii="Sylfaen" w:hAnsi="Sylfaen"/>
                <w:sz w:val="24"/>
                <w:szCs w:val="24"/>
                <w:lang w:val="en-US"/>
              </w:rPr>
            </w:pPr>
            <w:r>
              <w:rPr>
                <w:rFonts w:ascii="Sylfaen" w:hAnsi="Sylfaen"/>
                <w:sz w:val="24"/>
                <w:szCs w:val="24"/>
                <w:lang w:val="en-US"/>
              </w:rPr>
              <w:t>Deputy Head of the Department for the Development of Anti-corruption and Penitentiary Policies of the Staff of the Ministry of Justice of the Republic of Armenia</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Email:</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rPr>
                <w:rFonts w:ascii="Sylfaen" w:hAnsi="Sylfaen"/>
                <w:sz w:val="24"/>
                <w:szCs w:val="24"/>
                <w:lang w:val="en-US"/>
              </w:rPr>
            </w:pPr>
            <w:r>
              <w:rPr>
                <w:rFonts w:ascii="Sylfaen" w:hAnsi="Sylfaen"/>
                <w:sz w:val="24"/>
                <w:szCs w:val="24"/>
                <w:lang w:val="en-US"/>
              </w:rPr>
              <w:t>diana_ghazaryan@yahoo.com</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Phone</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rPr>
                <w:rFonts w:ascii="Sylfaen" w:hAnsi="Sylfaen"/>
                <w:sz w:val="24"/>
                <w:szCs w:val="24"/>
                <w:lang w:val="en-US"/>
              </w:rPr>
            </w:pPr>
            <w:r>
              <w:rPr>
                <w:rFonts w:ascii="Sylfaen" w:hAnsi="Sylfaen"/>
                <w:sz w:val="24"/>
                <w:szCs w:val="24"/>
                <w:lang w:val="en-US"/>
              </w:rPr>
              <w:t>(+37410) 594157</w:t>
            </w:r>
          </w:p>
        </w:tc>
      </w:tr>
      <w:tr>
        <w:trPr/>
        <w:tc>
          <w:tcPr>
            <w:tcW w:w="2518" w:type="dxa"/>
            <w:vMerge w:val="restart"/>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Other actors involved</w:t>
            </w:r>
          </w:p>
        </w:tc>
        <w:tc>
          <w:tcPr>
            <w:tcW w:w="2691" w:type="dxa"/>
            <w:tcBorders>
              <w:top w:val="single" w:sz="4" w:space="0" w:color="000000"/>
              <w:left w:val="sing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Other state actors involved</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spacing w:lineRule="auto" w:line="360" w:before="0" w:after="120"/>
              <w:rPr>
                <w:rFonts w:ascii="Sylfaen" w:hAnsi="Sylfaen" w:eastAsia="Times New Roman"/>
                <w:sz w:val="24"/>
                <w:szCs w:val="24"/>
                <w:lang w:val="en-US"/>
              </w:rPr>
            </w:pPr>
            <w:r>
              <w:rPr>
                <w:rFonts w:ascii="Sylfaen" w:hAnsi="Sylfaen"/>
                <w:sz w:val="24"/>
                <w:szCs w:val="24"/>
                <w:lang w:val="en-US"/>
              </w:rPr>
              <w:t>Staff of the Government of the Republic of Armenia, Ministry of Finance of the Republic of Armenia, Ministry of Foreign Affairs of the Republic of Armenia</w:t>
            </w:r>
          </w:p>
        </w:tc>
      </w:tr>
      <w:tr>
        <w:trPr/>
        <w:tc>
          <w:tcPr>
            <w:tcW w:w="2518" w:type="dxa"/>
            <w:vMerge w:val="continue"/>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r>
          </w:p>
        </w:tc>
        <w:tc>
          <w:tcPr>
            <w:tcW w:w="2691" w:type="dxa"/>
            <w:tcBorders>
              <w:top w:val="single" w:sz="4" w:space="0" w:color="000000"/>
              <w:left w:val="sing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Civil society, private sector</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rPr>
                <w:rFonts w:ascii="Sylfaen" w:hAnsi="Sylfaen" w:eastAsia="Times New Roman"/>
                <w:sz w:val="24"/>
                <w:szCs w:val="24"/>
                <w:lang w:val="en-US"/>
              </w:rPr>
            </w:pPr>
            <w:r>
              <w:rPr>
                <w:rFonts w:ascii="Sylfaen" w:hAnsi="Sylfaen"/>
                <w:sz w:val="24"/>
                <w:szCs w:val="24"/>
                <w:lang w:val="en-US"/>
              </w:rPr>
              <w:t>Helix Consulting</w:t>
            </w:r>
            <w:r>
              <w:rPr>
                <w:rFonts w:eastAsia="Times New Roman" w:ascii="Sylfaen" w:hAnsi="Sylfaen"/>
                <w:sz w:val="24"/>
                <w:szCs w:val="24"/>
                <w:lang w:val="en-US"/>
              </w:rPr>
              <w:t xml:space="preserve"> LLC (upon consent), Armenian Young Lawyers Association NGO (upon consent)</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Issue subject to regulation</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jc w:val="both"/>
              <w:rPr>
                <w:rFonts w:ascii="Sylfaen" w:hAnsi="Sylfaen"/>
                <w:spacing w:val="-4"/>
                <w:sz w:val="24"/>
                <w:szCs w:val="24"/>
                <w:highlight w:val="white"/>
                <w:lang w:val="en-US"/>
              </w:rPr>
            </w:pPr>
            <w:r>
              <w:rPr>
                <w:rFonts w:ascii="Sylfaen" w:hAnsi="Sylfaen"/>
                <w:spacing w:val="-2"/>
                <w:sz w:val="24"/>
                <w:szCs w:val="24"/>
                <w:lang w:val="en-US"/>
              </w:rPr>
              <w:t xml:space="preserve">Decision of the Prime Minister of the Republic of Armenia No 1087-N of 26 November 2013 "On official trips of representatives of republican executive bodies and territorial administration bodies" defines the procedures for receiving the permission of the Prime Minister of the Republic of Armenia for official trips of heads of republican executive bodies or territorial administration bodies, their deputies or other officials, </w:t>
            </w:r>
            <w:r>
              <w:rPr>
                <w:rFonts w:ascii="Sylfaen" w:hAnsi="Sylfaen"/>
                <w:spacing w:val="-4"/>
                <w:sz w:val="24"/>
                <w:szCs w:val="24"/>
                <w:lang w:val="en-US"/>
              </w:rPr>
              <w:t>and for submitting to the Staff of the Government of the Republic of Armenia reports on the results of the official trip after returning from the travel. Reports must contain information on the purpose of the official trip, the inviting party, the topics discussed, speeches, meetings, decisions made, documents signed, expected outcomes, etc.</w:t>
            </w:r>
          </w:p>
          <w:p>
            <w:pPr>
              <w:pStyle w:val="Normal"/>
              <w:spacing w:lineRule="auto" w:line="360" w:before="0" w:after="120"/>
              <w:jc w:val="both"/>
              <w:rPr>
                <w:rFonts w:ascii="Sylfaen" w:hAnsi="Sylfaen"/>
                <w:sz w:val="24"/>
                <w:szCs w:val="24"/>
                <w:lang w:val="en-US"/>
              </w:rPr>
            </w:pPr>
            <w:r>
              <w:rPr>
                <w:rFonts w:ascii="Sylfaen" w:hAnsi="Sylfaen"/>
                <w:sz w:val="24"/>
                <w:szCs w:val="24"/>
                <w:shd w:fill="FFFFFF" w:val="clear"/>
                <w:lang w:val="en-US"/>
              </w:rPr>
              <w:t xml:space="preserve">Individual decisions of the Prime Minister of the Republic of Armenia on official trips of the above-mentioned persons are posted </w:t>
            </w:r>
            <w:r>
              <w:rPr>
                <w:rFonts w:ascii="Sylfaen" w:hAnsi="Sylfaen"/>
                <w:sz w:val="24"/>
                <w:szCs w:val="24"/>
                <w:lang w:val="en-US"/>
              </w:rPr>
              <w:t xml:space="preserve">on the website of the Government of the Republic of Armenia at </w:t>
            </w:r>
            <w:r>
              <w:rPr>
                <w:rFonts w:ascii="Sylfaen" w:hAnsi="Sylfaen"/>
                <w:sz w:val="24"/>
                <w:szCs w:val="24"/>
                <w:shd w:fill="FFFFFF" w:val="clear"/>
                <w:lang w:val="en-US"/>
              </w:rPr>
              <w:t>www.e-gov.am</w:t>
            </w:r>
            <w:r>
              <w:rPr>
                <w:rFonts w:ascii="Sylfaen" w:hAnsi="Sylfaen"/>
                <w:sz w:val="24"/>
                <w:szCs w:val="24"/>
                <w:lang w:val="en-US"/>
              </w:rPr>
              <w:t>.</w:t>
            </w:r>
            <w:r>
              <w:rPr>
                <w:rFonts w:ascii="Sylfaen" w:hAnsi="Sylfaen"/>
                <w:sz w:val="24"/>
                <w:szCs w:val="24"/>
                <w:shd w:fill="FFFFFF" w:val="clear"/>
                <w:lang w:val="en-US"/>
              </w:rPr>
              <w:t xml:space="preserve"> Nonetheless, reports on the results of official trips are not posted.</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Main objective</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jc w:val="both"/>
              <w:rPr>
                <w:rFonts w:ascii="Sylfaen" w:hAnsi="Sylfaen"/>
                <w:spacing w:val="-2"/>
                <w:sz w:val="24"/>
                <w:szCs w:val="24"/>
                <w:lang w:val="en-US"/>
              </w:rPr>
            </w:pPr>
            <w:r>
              <w:rPr>
                <w:rFonts w:ascii="Sylfaen" w:hAnsi="Sylfaen"/>
                <w:spacing w:val="-2"/>
                <w:sz w:val="24"/>
                <w:szCs w:val="24"/>
                <w:shd w:fill="FFFFFF" w:val="clear"/>
                <w:lang w:val="en-US"/>
              </w:rPr>
              <w:t xml:space="preserve">Raise the level of efficiency and accountability of funding allocated from the State Budget of the Republic of Armenia </w:t>
            </w:r>
            <w:r>
              <w:rPr>
                <w:rFonts w:ascii="Sylfaen" w:hAnsi="Sylfaen"/>
                <w:spacing w:val="-2"/>
                <w:sz w:val="24"/>
                <w:szCs w:val="24"/>
                <w:lang w:val="en-US"/>
              </w:rPr>
              <w:t>for the purpose of sending on official trip heads of republican executive bodies or territorial administration bodies, their deputies or other officials;</w:t>
            </w:r>
            <w:r>
              <w:rPr>
                <w:rFonts w:ascii="Sylfaen" w:hAnsi="Sylfaen"/>
                <w:spacing w:val="-2"/>
                <w:sz w:val="24"/>
                <w:szCs w:val="24"/>
                <w:shd w:fill="FFFFFF" w:val="clear"/>
                <w:lang w:val="en-US"/>
              </w:rPr>
              <w:t xml:space="preserve"> improve the transparency of activities of the Government of the Republic of Armenia</w:t>
            </w:r>
            <w:r>
              <w:rPr>
                <w:rFonts w:ascii="Sylfaen" w:hAnsi="Sylfaen"/>
                <w:spacing w:val="-2"/>
                <w:sz w:val="24"/>
                <w:szCs w:val="24"/>
                <w:lang w:val="en-US"/>
              </w:rPr>
              <w:t>.</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Brief description of commitment</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jc w:val="both"/>
              <w:rPr>
                <w:rFonts w:ascii="Sylfaen" w:hAnsi="Sylfaen"/>
                <w:sz w:val="24"/>
                <w:szCs w:val="24"/>
                <w:lang w:val="en-US"/>
              </w:rPr>
            </w:pPr>
            <w:r>
              <w:rPr>
                <w:rFonts w:ascii="Sylfaen" w:hAnsi="Sylfaen"/>
                <w:sz w:val="24"/>
                <w:szCs w:val="24"/>
                <w:lang w:val="en-US"/>
              </w:rPr>
              <w:t xml:space="preserve">A unified platform with a search function will be created under the "public data" principle for posting decisions on official trips of officials and reports thereon. </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OGP challenge addressed by the commitment</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jc w:val="both"/>
              <w:rPr>
                <w:rFonts w:ascii="Sylfaen" w:hAnsi="Sylfaen" w:eastAsia="Arial Unicode MS" w:cs="GHEA Grapalat"/>
                <w:bCs/>
                <w:sz w:val="24"/>
                <w:szCs w:val="24"/>
                <w:lang w:val="en-US"/>
              </w:rPr>
            </w:pPr>
            <w:r>
              <w:rPr>
                <w:rFonts w:ascii="Sylfaen" w:hAnsi="Sylfaen"/>
                <w:sz w:val="24"/>
                <w:szCs w:val="24"/>
                <w:lang w:val="en-US"/>
              </w:rPr>
              <w:t>More efficient management of public resources</w:t>
            </w:r>
          </w:p>
          <w:p>
            <w:pPr>
              <w:pStyle w:val="Normal"/>
              <w:spacing w:lineRule="auto" w:line="360" w:before="0" w:after="120"/>
              <w:rPr>
                <w:rFonts w:ascii="Sylfaen" w:hAnsi="Sylfaen"/>
                <w:sz w:val="24"/>
                <w:szCs w:val="24"/>
                <w:lang w:val="en-US"/>
              </w:rPr>
            </w:pPr>
            <w:r>
              <w:rPr>
                <w:rFonts w:ascii="Sylfaen" w:hAnsi="Sylfaen"/>
                <w:sz w:val="24"/>
                <w:szCs w:val="24"/>
                <w:lang w:val="en-US"/>
              </w:rPr>
              <w:t>Enhancement of public integrity</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Relevance to OGP values</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rPr>
                <w:rFonts w:ascii="Sylfaen" w:hAnsi="Sylfaen"/>
                <w:sz w:val="24"/>
                <w:szCs w:val="24"/>
                <w:lang w:val="en-US"/>
              </w:rPr>
            </w:pPr>
            <w:r>
              <w:rPr>
                <w:rFonts w:ascii="Sylfaen" w:hAnsi="Sylfaen"/>
                <w:sz w:val="24"/>
                <w:szCs w:val="24"/>
                <w:lang w:val="en-US"/>
              </w:rPr>
              <w:t>Making the reports on the results of official trips public will help provide citizens with access to information not previously posted and raise the level of public accountability.</w:t>
            </w:r>
          </w:p>
        </w:tc>
      </w:tr>
      <w:tr>
        <w:trPr/>
        <w:tc>
          <w:tcPr>
            <w:tcW w:w="5209" w:type="dxa"/>
            <w:gridSpan w:val="2"/>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Ambition</w:t>
            </w:r>
          </w:p>
        </w:tc>
        <w:tc>
          <w:tcPr>
            <w:tcW w:w="9500" w:type="dxa"/>
            <w:gridSpan w:val="3"/>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rPr>
                <w:rFonts w:ascii="Sylfaen" w:hAnsi="Sylfaen"/>
                <w:sz w:val="24"/>
                <w:szCs w:val="24"/>
                <w:lang w:val="en-US"/>
              </w:rPr>
            </w:pPr>
            <w:r>
              <w:rPr>
                <w:rFonts w:ascii="Sylfaen" w:hAnsi="Sylfaen"/>
                <w:sz w:val="24"/>
                <w:szCs w:val="24"/>
                <w:lang w:val="en-US"/>
              </w:rPr>
              <w:t xml:space="preserve">Accessibility of reports on official trips will ensure more goal-oriented use of public resources and raise the level of accountability and increase confidence. </w:t>
            </w:r>
          </w:p>
        </w:tc>
      </w:tr>
      <w:tr>
        <w:trPr/>
        <w:tc>
          <w:tcPr>
            <w:tcW w:w="10313" w:type="dxa"/>
            <w:gridSpan w:val="3"/>
            <w:tcBorders>
              <w:top w:val="single" w:sz="4" w:space="0" w:color="000000"/>
              <w:left w:val="doub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Verifiable and measurable criteria for performance of commitment</w:t>
            </w:r>
          </w:p>
        </w:tc>
        <w:tc>
          <w:tcPr>
            <w:tcW w:w="2127" w:type="dxa"/>
            <w:tcBorders>
              <w:top w:val="single" w:sz="4" w:space="0" w:color="000000"/>
              <w:left w:val="single" w:sz="4" w:space="0" w:color="000000"/>
              <w:bottom w:val="single" w:sz="4" w:space="0" w:color="000000"/>
              <w:right w:val="single" w:sz="4" w:space="0" w:color="000000"/>
            </w:tcBorders>
            <w:shd w:color="auto" w:fill="F7CAAC"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Start Date:</w:t>
            </w:r>
          </w:p>
        </w:tc>
        <w:tc>
          <w:tcPr>
            <w:tcW w:w="2269" w:type="dxa"/>
            <w:tcBorders>
              <w:top w:val="single" w:sz="4" w:space="0" w:color="000000"/>
              <w:left w:val="single" w:sz="4" w:space="0" w:color="000000"/>
              <w:bottom w:val="single" w:sz="4" w:space="0" w:color="000000"/>
              <w:right w:val="double" w:sz="4" w:space="0" w:color="000000"/>
            </w:tcBorders>
            <w:shd w:color="auto" w:fill="F7CAAC"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End Date:</w:t>
            </w:r>
          </w:p>
        </w:tc>
      </w:tr>
      <w:tr>
        <w:trPr>
          <w:trHeight w:val="1383" w:hRule="atLeast"/>
        </w:trPr>
        <w:tc>
          <w:tcPr>
            <w:tcW w:w="10313" w:type="dxa"/>
            <w:gridSpan w:val="3"/>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360" w:before="0" w:after="120"/>
              <w:jc w:val="both"/>
              <w:rPr>
                <w:rFonts w:ascii="Sylfaen" w:hAnsi="Sylfaen"/>
                <w:sz w:val="24"/>
                <w:szCs w:val="24"/>
                <w:highlight w:val="white"/>
                <w:lang w:val="en-US"/>
              </w:rPr>
            </w:pPr>
            <w:r>
              <w:rPr>
                <w:rFonts w:ascii="Sylfaen" w:hAnsi="Sylfaen"/>
                <w:sz w:val="24"/>
                <w:szCs w:val="24"/>
                <w:shd w:fill="FFFFFF" w:val="clear"/>
                <w:lang w:val="en-US"/>
              </w:rPr>
              <w:t xml:space="preserve">Drafting of amendments and supplements </w:t>
            </w:r>
            <w:r>
              <w:rPr>
                <w:rFonts w:ascii="Sylfaen" w:hAnsi="Sylfaen"/>
                <w:sz w:val="24"/>
                <w:szCs w:val="24"/>
                <w:lang w:val="en-US"/>
              </w:rPr>
              <w:t xml:space="preserve">to legal acts defining the procedure for permissions to official trips of officials, and discussion thereon with interested representatives of civil society. </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September 2016</w:t>
            </w:r>
          </w:p>
        </w:tc>
        <w:tc>
          <w:tcPr>
            <w:tcW w:w="2269"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January 2017</w:t>
            </w:r>
          </w:p>
        </w:tc>
      </w:tr>
      <w:tr>
        <w:trPr/>
        <w:tc>
          <w:tcPr>
            <w:tcW w:w="10313" w:type="dxa"/>
            <w:gridSpan w:val="3"/>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360" w:before="0" w:after="120"/>
              <w:jc w:val="both"/>
              <w:rPr>
                <w:rFonts w:ascii="Sylfaen" w:hAnsi="Sylfaen"/>
                <w:sz w:val="24"/>
                <w:szCs w:val="24"/>
                <w:highlight w:val="white"/>
                <w:lang w:val="en-US"/>
              </w:rPr>
            </w:pPr>
            <w:r>
              <w:rPr>
                <w:rFonts w:ascii="Sylfaen" w:hAnsi="Sylfaen"/>
                <w:sz w:val="24"/>
                <w:szCs w:val="24"/>
                <w:shd w:fill="FFFFFF" w:val="clear"/>
                <w:lang w:val="en-US"/>
              </w:rPr>
              <w:t>Coordination of draft legal acts with interested government agencies and adoption thereof.</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January 2017</w:t>
            </w:r>
          </w:p>
        </w:tc>
        <w:tc>
          <w:tcPr>
            <w:tcW w:w="2269"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360" w:before="0" w:after="120"/>
              <w:jc w:val="center"/>
              <w:rPr>
                <w:rFonts w:ascii="Sylfaen" w:hAnsi="Sylfaen"/>
                <w:sz w:val="24"/>
                <w:szCs w:val="24"/>
                <w:lang w:val="en-US"/>
              </w:rPr>
            </w:pPr>
            <w:r>
              <w:rPr>
                <w:rFonts w:ascii="Sylfaen" w:hAnsi="Sylfaen"/>
                <w:sz w:val="24"/>
                <w:szCs w:val="24"/>
                <w:lang w:val="en-US"/>
              </w:rPr>
              <w:t>April 2017</w:t>
            </w:r>
          </w:p>
        </w:tc>
      </w:tr>
      <w:tr>
        <w:trPr/>
        <w:tc>
          <w:tcPr>
            <w:tcW w:w="10313" w:type="dxa"/>
            <w:gridSpan w:val="3"/>
            <w:tcBorders>
              <w:top w:val="single" w:sz="4" w:space="0" w:color="000000"/>
              <w:left w:val="double" w:sz="4" w:space="0" w:color="000000"/>
              <w:bottom w:val="double" w:sz="4" w:space="0" w:color="000000"/>
              <w:right w:val="single" w:sz="4" w:space="0" w:color="000000"/>
            </w:tcBorders>
            <w:shd w:color="auto" w:fill="auto" w:val="clear"/>
          </w:tcPr>
          <w:p>
            <w:pPr>
              <w:pStyle w:val="Normal"/>
              <w:numPr>
                <w:ilvl w:val="0"/>
                <w:numId w:val="1"/>
              </w:numPr>
              <w:spacing w:lineRule="auto" w:line="360" w:before="0" w:after="120"/>
              <w:jc w:val="both"/>
              <w:rPr>
                <w:rFonts w:ascii="Sylfaen" w:hAnsi="Sylfaen" w:cs="GHEA Grapalat"/>
                <w:sz w:val="24"/>
                <w:szCs w:val="24"/>
                <w:lang w:val="en-US"/>
              </w:rPr>
            </w:pPr>
            <w:r>
              <w:rPr>
                <w:rFonts w:ascii="Sylfaen" w:hAnsi="Sylfaen"/>
                <w:sz w:val="24"/>
                <w:szCs w:val="24"/>
                <w:shd w:fill="FFFFFF" w:val="clear"/>
                <w:lang w:val="en-US"/>
              </w:rPr>
              <w:t xml:space="preserve">Creating a unified information platform </w:t>
            </w:r>
            <w:r>
              <w:rPr>
                <w:rFonts w:ascii="Sylfaen" w:hAnsi="Sylfaen"/>
                <w:sz w:val="24"/>
                <w:szCs w:val="24"/>
                <w:lang w:val="en-US"/>
              </w:rPr>
              <w:t>accessible to users</w:t>
            </w:r>
            <w:r>
              <w:rPr>
                <w:rFonts w:ascii="Sylfaen" w:hAnsi="Sylfaen"/>
                <w:sz w:val="24"/>
                <w:szCs w:val="24"/>
                <w:shd w:fill="FFFFFF" w:val="clear"/>
                <w:lang w:val="en-US"/>
              </w:rPr>
              <w:t xml:space="preserve"> for </w:t>
            </w:r>
            <w:r>
              <w:rPr>
                <w:rFonts w:ascii="Sylfaen" w:hAnsi="Sylfaen"/>
                <w:sz w:val="24"/>
                <w:szCs w:val="24"/>
                <w:lang w:val="en-US"/>
              </w:rPr>
              <w:t xml:space="preserve">posting decisions and reports on official trips of heads of republican executive bodies or territorial administration bodies, their deputies or other officials. </w:t>
            </w:r>
          </w:p>
        </w:tc>
        <w:tc>
          <w:tcPr>
            <w:tcW w:w="212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May 2017</w:t>
            </w:r>
          </w:p>
        </w:tc>
        <w:tc>
          <w:tcPr>
            <w:tcW w:w="2269" w:type="dxa"/>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360" w:before="0" w:after="120"/>
              <w:jc w:val="center"/>
              <w:rPr>
                <w:rFonts w:ascii="Sylfaen" w:hAnsi="Sylfaen" w:cs="GHEA Grapalat"/>
                <w:sz w:val="24"/>
                <w:szCs w:val="24"/>
                <w:lang w:val="en-US"/>
              </w:rPr>
            </w:pPr>
            <w:r>
              <w:rPr>
                <w:rFonts w:ascii="Sylfaen" w:hAnsi="Sylfaen"/>
                <w:sz w:val="24"/>
                <w:szCs w:val="24"/>
                <w:lang w:val="en-US"/>
              </w:rPr>
              <w:t>October 2017</w:t>
            </w:r>
          </w:p>
        </w:tc>
      </w:tr>
    </w:tbl>
    <w:p>
      <w:pPr>
        <w:pStyle w:val="Normal"/>
        <w:spacing w:lineRule="auto" w:line="360" w:before="0" w:after="120"/>
        <w:rPr>
          <w:rFonts w:ascii="Sylfaen" w:hAnsi="Sylfaen"/>
          <w:sz w:val="24"/>
          <w:szCs w:val="24"/>
          <w:lang w:val="en-US"/>
        </w:rPr>
      </w:pPr>
      <w:r>
        <w:rPr>
          <w:rFonts w:ascii="Sylfaen" w:hAnsi="Sylfaen"/>
          <w:sz w:val="24"/>
          <w:szCs w:val="24"/>
          <w:lang w:val="en-US"/>
        </w:rPr>
      </w:r>
    </w:p>
    <w:p>
      <w:pPr>
        <w:pStyle w:val="Normal"/>
        <w:spacing w:lineRule="auto" w:line="360" w:before="0" w:after="120"/>
        <w:rPr>
          <w:rFonts w:ascii="Sylfaen" w:hAnsi="Sylfaen"/>
          <w:sz w:val="24"/>
          <w:szCs w:val="24"/>
          <w:lang w:val="en-US"/>
        </w:rPr>
      </w:pPr>
      <w:r>
        <w:rPr>
          <w:rFonts w:ascii="Sylfaen" w:hAnsi="Sylfaen"/>
          <w:sz w:val="24"/>
          <w:szCs w:val="24"/>
          <w:lang w:val="en-US"/>
        </w:rPr>
      </w:r>
    </w:p>
    <w:p>
      <w:pPr>
        <w:pStyle w:val="Normal"/>
        <w:rPr>
          <w:rFonts w:ascii="Sylfaen" w:hAnsi="Sylfaen"/>
        </w:rPr>
      </w:pPr>
      <w:r>
        <w:rPr>
          <w:rFonts w:ascii="Sylfaen" w:hAnsi="Sylfaen"/>
          <w:sz w:val="24"/>
          <w:szCs w:val="24"/>
          <w:lang w:val="en-US"/>
        </w:rPr>
      </w:r>
    </w:p>
    <w:p>
      <w:pPr>
        <w:pStyle w:val="Normal"/>
        <w:spacing w:lineRule="auto" w:line="240" w:before="0" w:after="0"/>
        <w:rPr>
          <w:rFonts w:ascii="Sylfaen" w:hAnsi="Sylfaen"/>
          <w:b/>
          <w:b/>
          <w:sz w:val="24"/>
          <w:szCs w:val="24"/>
          <w:lang w:val="en-US"/>
        </w:rPr>
      </w:pPr>
      <w:r>
        <w:rPr/>
      </w:r>
    </w:p>
    <w:sectPr>
      <w:type w:val="nextPage"/>
      <w:pgSz w:orient="landscape" w:w="16838" w:h="11906"/>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otham">
    <w:charset w:val="01"/>
    <w:family w:val="roman"/>
    <w:pitch w:val="variable"/>
  </w:font>
  <w:font w:name="Tahoma">
    <w:charset w:val="01"/>
    <w:family w:val="roman"/>
    <w:pitch w:val="variable"/>
  </w:font>
  <w:font w:name="Arial Armenian">
    <w:charset w:val="01"/>
    <w:family w:val="roman"/>
    <w:pitch w:val="variable"/>
  </w:font>
  <w:font w:name="Liberation Sans">
    <w:altName w:val="Arial"/>
    <w:charset w:val="01"/>
    <w:family w:val="swiss"/>
    <w:pitch w:val="variable"/>
  </w:font>
  <w:font w:name="Sylfaen">
    <w:charset w:val="01"/>
    <w:family w:val="roman"/>
    <w:pitch w:val="variable"/>
  </w:font>
  <w:font w:name="Gotham Bold">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3e48"/>
    <w:pPr>
      <w:widowControl/>
      <w:bidi w:val="0"/>
      <w:spacing w:lineRule="auto" w:line="259" w:before="0" w:after="160"/>
      <w:jc w:val="left"/>
    </w:pPr>
    <w:rPr>
      <w:rFonts w:ascii="Calibri" w:hAnsi="Calibri" w:eastAsia="Calibri" w:cs="Times New Roman"/>
      <w:color w:val="auto"/>
      <w:kern w:val="0"/>
      <w:sz w:val="22"/>
      <w:szCs w:val="22"/>
      <w:lang w:val="en-GB" w:eastAsia="en-GB" w:bidi="en-GB"/>
    </w:rPr>
  </w:style>
  <w:style w:type="character" w:styleId="DefaultParagraphFont" w:default="1">
    <w:name w:val="Default Paragraph Font"/>
    <w:uiPriority w:val="1"/>
    <w:semiHidden/>
    <w:unhideWhenUsed/>
    <w:qFormat/>
    <w:rPr/>
  </w:style>
  <w:style w:type="character" w:styleId="FootnoteTextChar" w:customStyle="1">
    <w:name w:val="Footnote Text Char"/>
    <w:link w:val="FootnoteText"/>
    <w:uiPriority w:val="99"/>
    <w:semiHidden/>
    <w:qFormat/>
    <w:rsid w:val="00f57681"/>
    <w:rPr>
      <w:sz w:val="20"/>
      <w:szCs w:val="20"/>
    </w:rPr>
  </w:style>
  <w:style w:type="character" w:styleId="FootnoteCharacters">
    <w:name w:val="Footnote Characters"/>
    <w:uiPriority w:val="99"/>
    <w:semiHidden/>
    <w:unhideWhenUsed/>
    <w:qFormat/>
    <w:rsid w:val="00f57681"/>
    <w:rPr>
      <w:vertAlign w:val="superscript"/>
    </w:rPr>
  </w:style>
  <w:style w:type="character" w:styleId="FootnoteAnchor">
    <w:name w:val="Footnote Anchor"/>
    <w:rPr>
      <w:vertAlign w:val="superscript"/>
    </w:rPr>
  </w:style>
  <w:style w:type="character" w:styleId="InternetLink">
    <w:name w:val="Hyperlink"/>
    <w:unhideWhenUsed/>
    <w:rsid w:val="00f57681"/>
    <w:rPr>
      <w:color w:val="0563C1"/>
      <w:u w:val="single"/>
    </w:rPr>
  </w:style>
  <w:style w:type="character" w:styleId="A6" w:customStyle="1">
    <w:name w:val="A6"/>
    <w:uiPriority w:val="99"/>
    <w:qFormat/>
    <w:rsid w:val="00c047ab"/>
    <w:rPr>
      <w:rFonts w:ascii="Gotham" w:hAnsi="Gotham" w:cs="Gotham"/>
      <w:i/>
      <w:iCs/>
      <w:color w:val="000000"/>
      <w:sz w:val="20"/>
      <w:szCs w:val="20"/>
    </w:rPr>
  </w:style>
  <w:style w:type="character" w:styleId="Appleconvertedspace" w:customStyle="1">
    <w:name w:val="apple-converted-space"/>
    <w:basedOn w:val="DefaultParagraphFont"/>
    <w:qFormat/>
    <w:rsid w:val="000e655a"/>
    <w:rPr/>
  </w:style>
  <w:style w:type="character" w:styleId="BalloonTextChar" w:customStyle="1">
    <w:name w:val="Balloon Text Char"/>
    <w:link w:val="BalloonText"/>
    <w:uiPriority w:val="99"/>
    <w:semiHidden/>
    <w:qFormat/>
    <w:rsid w:val="00757578"/>
    <w:rPr>
      <w:rFonts w:ascii="Tahoma" w:hAnsi="Tahoma" w:cs="Tahoma"/>
      <w:sz w:val="16"/>
      <w:szCs w:val="16"/>
    </w:rPr>
  </w:style>
  <w:style w:type="character" w:styleId="ListParagraphChar" w:customStyle="1">
    <w:name w:val="List Paragraph Char"/>
    <w:basedOn w:val="DefaultParagraphFont"/>
    <w:link w:val="ListParagraph"/>
    <w:qFormat/>
    <w:locked/>
    <w:rsid w:val="00620689"/>
    <w:rPr/>
  </w:style>
  <w:style w:type="character" w:styleId="Strong">
    <w:name w:val="Strong"/>
    <w:uiPriority w:val="22"/>
    <w:qFormat/>
    <w:rsid w:val="00250b88"/>
    <w:rPr>
      <w:b/>
      <w:bCs/>
    </w:rPr>
  </w:style>
  <w:style w:type="character" w:styleId="VisitedInternetLink">
    <w:name w:val="FollowedHyperlink"/>
    <w:uiPriority w:val="99"/>
    <w:semiHidden/>
    <w:unhideWhenUsed/>
    <w:rsid w:val="00643e70"/>
    <w:rPr>
      <w:color w:val="954F72"/>
      <w:u w:val="single"/>
    </w:rPr>
  </w:style>
  <w:style w:type="character" w:styleId="PlaceholderText">
    <w:name w:val="Placeholder Text"/>
    <w:uiPriority w:val="99"/>
    <w:semiHidden/>
    <w:qFormat/>
    <w:rsid w:val="00d74643"/>
    <w:rPr>
      <w:color w:val="808080"/>
    </w:rPr>
  </w:style>
  <w:style w:type="character" w:styleId="Annotationreference">
    <w:name w:val="annotation reference"/>
    <w:uiPriority w:val="99"/>
    <w:semiHidden/>
    <w:unhideWhenUsed/>
    <w:qFormat/>
    <w:rsid w:val="007365a5"/>
    <w:rPr>
      <w:sz w:val="16"/>
      <w:szCs w:val="16"/>
    </w:rPr>
  </w:style>
  <w:style w:type="character" w:styleId="CommentTextChar" w:customStyle="1">
    <w:name w:val="Comment Text Char"/>
    <w:link w:val="CommentText"/>
    <w:uiPriority w:val="99"/>
    <w:semiHidden/>
    <w:qFormat/>
    <w:rsid w:val="007365a5"/>
    <w:rPr>
      <w:sz w:val="20"/>
      <w:szCs w:val="20"/>
    </w:rPr>
  </w:style>
  <w:style w:type="character" w:styleId="CommentSubjectChar" w:customStyle="1">
    <w:name w:val="Comment Subject Char"/>
    <w:link w:val="CommentSubject"/>
    <w:uiPriority w:val="99"/>
    <w:semiHidden/>
    <w:qFormat/>
    <w:rsid w:val="007365a5"/>
    <w:rPr>
      <w:b/>
      <w:bCs/>
      <w:sz w:val="20"/>
      <w:szCs w:val="20"/>
    </w:rPr>
  </w:style>
  <w:style w:type="character" w:styleId="MechtexChar" w:customStyle="1">
    <w:name w:val="mechtex Char"/>
    <w:link w:val="mechtex"/>
    <w:qFormat/>
    <w:locked/>
    <w:rsid w:val="00fe2d2f"/>
    <w:rPr>
      <w:rFonts w:ascii="Arial Armenian" w:hAnsi="Arial Armenian"/>
      <w:lang w:val="en-GB" w:eastAsia="en-G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FootnoteTextChar"/>
    <w:uiPriority w:val="99"/>
    <w:semiHidden/>
    <w:unhideWhenUsed/>
    <w:rsid w:val="00f57681"/>
    <w:pPr>
      <w:spacing w:lineRule="auto" w:line="240" w:before="0" w:after="0"/>
    </w:pPr>
    <w:rPr>
      <w:sz w:val="20"/>
      <w:szCs w:val="20"/>
      <w:lang w:bidi="ar-SA"/>
    </w:rPr>
  </w:style>
  <w:style w:type="paragraph" w:styleId="ListParagraph">
    <w:name w:val="List Paragraph"/>
    <w:basedOn w:val="Normal"/>
    <w:link w:val="ListParagraphChar"/>
    <w:qFormat/>
    <w:rsid w:val="00c9051c"/>
    <w:pPr>
      <w:spacing w:lineRule="auto" w:line="360" w:before="0" w:after="120"/>
      <w:ind w:left="0" w:hanging="0"/>
      <w:contextualSpacing/>
      <w:jc w:val="center"/>
    </w:pPr>
    <w:rPr>
      <w:rFonts w:ascii="Sylfaen" w:hAnsi="Sylfaen"/>
      <w:b/>
      <w:spacing w:val="60"/>
      <w:sz w:val="24"/>
      <w:szCs w:val="24"/>
      <w:lang w:val="en-US"/>
    </w:rPr>
  </w:style>
  <w:style w:type="paragraph" w:styleId="Default" w:customStyle="1">
    <w:name w:val="Default"/>
    <w:qFormat/>
    <w:rsid w:val="00c047ab"/>
    <w:pPr>
      <w:widowControl/>
      <w:bidi w:val="0"/>
      <w:spacing w:before="0" w:after="0"/>
      <w:jc w:val="left"/>
    </w:pPr>
    <w:rPr>
      <w:rFonts w:ascii="Gotham Bold" w:hAnsi="Gotham Bold" w:cs="Gotham Bold" w:eastAsia="Calibri"/>
      <w:color w:val="000000"/>
      <w:kern w:val="0"/>
      <w:sz w:val="24"/>
      <w:szCs w:val="24"/>
      <w:lang w:val="en-GB" w:eastAsia="en-GB" w:bidi="en-GB"/>
    </w:rPr>
  </w:style>
  <w:style w:type="paragraph" w:styleId="Pa4" w:customStyle="1">
    <w:name w:val="Pa4"/>
    <w:basedOn w:val="Default"/>
    <w:next w:val="Default"/>
    <w:uiPriority w:val="99"/>
    <w:qFormat/>
    <w:rsid w:val="00c047ab"/>
    <w:pPr>
      <w:spacing w:lineRule="atLeast" w:line="201"/>
    </w:pPr>
    <w:rPr>
      <w:rFonts w:cs="Times New Roman"/>
      <w:color w:val="auto"/>
    </w:rPr>
  </w:style>
  <w:style w:type="paragraph" w:styleId="Pa1" w:customStyle="1">
    <w:name w:val="Pa1"/>
    <w:basedOn w:val="Default"/>
    <w:next w:val="Default"/>
    <w:uiPriority w:val="99"/>
    <w:qFormat/>
    <w:rsid w:val="00c047ab"/>
    <w:pPr>
      <w:spacing w:lineRule="atLeast" w:line="241"/>
    </w:pPr>
    <w:rPr>
      <w:rFonts w:cs="Times New Roman"/>
      <w:color w:val="auto"/>
    </w:rPr>
  </w:style>
  <w:style w:type="paragraph" w:styleId="NormalWeb">
    <w:name w:val="Normal (Web)"/>
    <w:basedOn w:val="Normal"/>
    <w:uiPriority w:val="99"/>
    <w:unhideWhenUsed/>
    <w:qFormat/>
    <w:rsid w:val="000e655a"/>
    <w:pPr>
      <w:spacing w:lineRule="auto" w:line="240" w:beforeAutospacing="1" w:afterAutospacing="1"/>
    </w:pPr>
    <w:rPr>
      <w:rFonts w:ascii="Times New Roman" w:hAnsi="Times New Roman" w:eastAsia="Times New Roman"/>
      <w:sz w:val="24"/>
      <w:szCs w:val="24"/>
    </w:rPr>
  </w:style>
  <w:style w:type="paragraph" w:styleId="Newsdate" w:customStyle="1">
    <w:name w:val="news-date"/>
    <w:basedOn w:val="Normal"/>
    <w:qFormat/>
    <w:rsid w:val="005b3ed3"/>
    <w:pPr>
      <w:spacing w:lineRule="auto" w:line="240" w:beforeAutospacing="1" w:afterAutospacing="1"/>
    </w:pPr>
    <w:rPr>
      <w:rFonts w:ascii="Times New Roman" w:hAnsi="Times New Roman" w:eastAsia="Times New Roman"/>
      <w:sz w:val="24"/>
      <w:szCs w:val="24"/>
    </w:rPr>
  </w:style>
  <w:style w:type="paragraph" w:styleId="BalloonText">
    <w:name w:val="Balloon Text"/>
    <w:basedOn w:val="Normal"/>
    <w:link w:val="BalloonTextChar"/>
    <w:uiPriority w:val="99"/>
    <w:semiHidden/>
    <w:unhideWhenUsed/>
    <w:qFormat/>
    <w:rsid w:val="00757578"/>
    <w:pPr>
      <w:spacing w:lineRule="auto" w:line="240" w:before="0" w:after="0"/>
    </w:pPr>
    <w:rPr>
      <w:rFonts w:ascii="Tahoma" w:hAnsi="Tahoma"/>
      <w:sz w:val="16"/>
      <w:szCs w:val="16"/>
      <w:lang w:bidi="ar-SA"/>
    </w:rPr>
  </w:style>
  <w:style w:type="paragraph" w:styleId="Annotationtext">
    <w:name w:val="annotation text"/>
    <w:basedOn w:val="Normal"/>
    <w:link w:val="CommentTextChar"/>
    <w:uiPriority w:val="99"/>
    <w:semiHidden/>
    <w:unhideWhenUsed/>
    <w:qFormat/>
    <w:rsid w:val="007365a5"/>
    <w:pPr>
      <w:spacing w:lineRule="auto" w:line="240"/>
    </w:pPr>
    <w:rPr>
      <w:sz w:val="20"/>
      <w:szCs w:val="20"/>
      <w:lang w:bidi="ar-SA"/>
    </w:rPr>
  </w:style>
  <w:style w:type="paragraph" w:styleId="Annotationsubject">
    <w:name w:val="annotation subject"/>
    <w:basedOn w:val="Annotationtext"/>
    <w:next w:val="Annotationtext"/>
    <w:link w:val="CommentSubjectChar"/>
    <w:uiPriority w:val="99"/>
    <w:semiHidden/>
    <w:unhideWhenUsed/>
    <w:qFormat/>
    <w:rsid w:val="007365a5"/>
    <w:pPr/>
    <w:rPr>
      <w:b/>
      <w:bCs/>
    </w:rPr>
  </w:style>
  <w:style w:type="paragraph" w:styleId="Mechtex" w:customStyle="1">
    <w:name w:val="mechtex"/>
    <w:basedOn w:val="Normal"/>
    <w:link w:val="mechtexChar"/>
    <w:qFormat/>
    <w:rsid w:val="00fe2d2f"/>
    <w:pPr>
      <w:spacing w:lineRule="auto" w:line="240" w:before="0" w:after="0"/>
      <w:jc w:val="center"/>
    </w:pPr>
    <w:rPr>
      <w:rFonts w:ascii="Arial Armenian" w:hAnsi="Arial Armenian"/>
      <w:sz w:val="20"/>
      <w:szCs w:val="20"/>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6706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4C9D-EB55-41D8-B57A-AAB105CE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LibreOffice/6.4.5.2$Linux_X86_64 LibreOffice_project/40$Build-2</Application>
  <Pages>4</Pages>
  <Words>557</Words>
  <Characters>3256</Characters>
  <CharactersWithSpaces>3770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2017-09-02T16:18:00Z</dcterms:created>
  <dc:creator>Lilya Shushanyan</dc:creator>
  <dc:description/>
  <dc:language>en-US</dc:language>
  <cp:lastModifiedBy/>
  <cp:lastPrinted>2016-08-25T11:47:00Z</cp:lastPrinted>
  <dcterms:modified xsi:type="dcterms:W3CDTF">2020-11-17T12:51:19Z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